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7C80B421" w:rsidR="003C082C" w:rsidRPr="00380E25" w:rsidRDefault="003C082C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GROBLJIMA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4F059607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1.kolovoza 2022.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1AEB5E8A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o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grobljima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10DD5249" w:rsidR="005B0986" w:rsidRPr="00380E25" w:rsidRDefault="00C52115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Donošenje nove Odluke o grobljima , radi usklađivanja stanja , sukladno Zakonu o grobljima („ Narodne novine“, br. 19/98, 50/12 i 89/17).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2F6355BF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28.lipnja 2022. godine do 28.srpnja 2022.godine.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710D22"/>
    <w:rsid w:val="00861A01"/>
    <w:rsid w:val="00A5323D"/>
    <w:rsid w:val="00B72F50"/>
    <w:rsid w:val="00C52115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9</cp:revision>
  <dcterms:created xsi:type="dcterms:W3CDTF">2018-12-04T10:21:00Z</dcterms:created>
  <dcterms:modified xsi:type="dcterms:W3CDTF">2022-08-01T11:56:00Z</dcterms:modified>
</cp:coreProperties>
</file>