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160f3a6a4e469f" /></Relationships>
</file>

<file path=word/document.xml><?xml version="1.0" encoding="utf-8"?>
<w:document xmlns:w="http://schemas.openxmlformats.org/wordprocessingml/2006/main">
  <w:body>
    <w:tbl>
      <w:tblPr>
        <w:tblW w:w="9000" w:type="dxa"/>
        <w:tblBorders>
          <w:top w:val="nil"/>
          <w:bottom w:val="nil"/>
          <w:left w:val="nil"/>
          <w:right w:val="nil"/>
          <w:insideH w:val="nil"/>
          <w:insideV w:val="nil"/>
        </w:tblBorders>
        <w:tblCellSpacing w:w="60" w:type="dxa"/>
        <w:shd w:val="clear" w:color="auto" w:fill="E7F0F9"/>
      </w:tblPr>
      <w:tblGrid>
        <w:gridCol w:w="1200"/>
        <w:gridCol w:w="4500"/>
      </w:tblGrid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RKP broj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35888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Naziv obveznika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OPĆINA ERNESTINOVO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Razina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22</w:t>
            </w:r>
          </w:p>
        </w:tc>
      </w:tr>
    </w:tbl>
    <w:p>
      <w:r>
        <w:br/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>BILJEŠKE UZ FINANCIJSKE IZVJEŠTAJE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>ZA RAZDOBLJE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>I - VI 2025.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>Izvještaj o prihodima i rashodima, primicima i izdacima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>Bilješka 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0" w:type="auto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990.725,24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1.466.541,46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148,0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529.284,59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818.164,04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154,6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POSLOVANJA (šifre 6-Z005)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461.440,65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648.377,42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140,5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nefinancijske imovine (šifre 71+72+73+74)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86.799,19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794,80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0,9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314.770,15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921.225,16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292,7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OD NEFINANCIJSKE IMOVINE (šifre 4-7)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227.970,96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920.430,36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403,7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Primici od financijske imovine i zaduživanja (šifre 81+82+83+84+85)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Izdaci za financijsku imovinu i otplate zajmova (šifre 51+52+53+54+55)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VIŠAK/MANJAK PRIMITAKA OD FINANCIJSKE IMOVINE I ZADUŽIVANJA (šifre 8-5, 5-8)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X003, Y003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I PRIMITAKA (šifre Y345-X678)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272.052,94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</w:tbl>
    <w:p>
      <w:pPr>
        <w:spacing w:before="0" w:after="0"/>
      </w:pPr>
    </w:p>
    <w:p>
      <w:pPr>
        <w:jc w:val="both"/>
        <w:pStyle w:val="Normal"/>
        <w:spacing w:line="240" w:lineRule="auto"/>
      </w:pPr>
      <w:r>
        <w:rPr>
          <w:sz w:val="24"/>
          <w:rFonts w:ascii="Times New Roman" w:hAnsi="Times New Roman"/>
        </w:rPr>
        <w:t>U ovom obračunskom razdoblju, Općina Ernestinovo je ostvarila višak prihoda poslovanja u iznosu od 648.377,42 €, dok dok su ukupni rashodi za nabavu nefinancijske imovine bili veći od ukupnih prihoda od prodaje nefinancijske imovine u iznosu za 272.052,94 €, te je tako ostvaren manjak prihoda i primitaka u navedenom iznosu. Razlog tome je što nije bilo prihoda od prodaje nefinancijske imovine, a nabavljala se oprema te izvodili radovi.
Preneseni višak prihoda iz prošlog obračunskog razdoblja iznosio je 1.154.598,72 € , te će se s njim pokriti manjak prihoda od nefinancijske imovine koji je nastao u ovom razdoblju.  Višak prihoda koji je raspoloživ u sljedećem razdoblju iznosi 882.545,78 €.</w:t>
      </w:r>
    </w:p>
    <w:p>
      <w:r>
        <w:br/>
      </w:r>
    </w:p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>Izvještaj o obvezama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>Bilješka 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/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Stanje dospjelih obveza na kraju izvještajnog razdoblja (šifre V008+D23+D24 + 'D dio 25,26' + D27)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V007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pPr>
        <w:jc w:val="both"/>
        <w:pStyle w:val="Normal"/>
        <w:spacing w:line="240" w:lineRule="auto"/>
      </w:pPr>
      <w:r>
        <w:rPr>
          <w:sz w:val="24"/>
          <w:rFonts w:ascii="Times New Roman" w:hAnsi="Times New Roman"/>
        </w:rPr>
        <w:t>Općina Ernestinovo na kraju izvještajnog razdoblja nema dospjelih obveza.</w:t>
      </w:r>
    </w:p>
    <w:p/>
  </w:body>
</w:document>
</file>

<file path=word/styles.xml><?xml version="1.0" encoding="utf-8"?>
<w:styles xmlns:w="http://schemas.openxmlformats.org/wordprocessingml/2006/main">
  <w:style w:type="paragraph" w:styleId="Normal" w:default="true">
    <w:name w:val="Normal"/>
    <w:rPr>
      <w:rFonts w:ascii="Times New Roman" w:hAnsi="Times New Roman"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3c43f094aca4d82" /></Relationships>
</file>